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A27C3" w14:textId="77777777" w:rsidR="0072206C" w:rsidRPr="001E4877" w:rsidRDefault="00516360" w:rsidP="001E4877">
      <w:pPr>
        <w:pStyle w:val="Title"/>
      </w:pPr>
      <w:r w:rsidRPr="001E4877">
        <w:t>Comm</w:t>
      </w:r>
      <w:bookmarkStart w:id="0" w:name="_GoBack"/>
      <w:bookmarkEnd w:id="0"/>
      <w:r w:rsidRPr="001E4877">
        <w:t xml:space="preserve">ercial </w:t>
      </w:r>
      <w:r w:rsidR="0072206C" w:rsidRPr="001E4877">
        <w:t xml:space="preserve">Green Building Task Force </w:t>
      </w:r>
    </w:p>
    <w:p w14:paraId="59F4628B" w14:textId="77777777" w:rsidR="00CA46C1" w:rsidRPr="0072206C" w:rsidRDefault="0065400E" w:rsidP="00D909F2">
      <w:pPr>
        <w:pStyle w:val="NoSpacing"/>
        <w:spacing w:after="60"/>
        <w:rPr>
          <w:rFonts w:ascii="Arial" w:hAnsi="Arial" w:cs="Arial"/>
          <w:b/>
        </w:rPr>
      </w:pPr>
      <w:r w:rsidRPr="0072206C">
        <w:rPr>
          <w:rFonts w:ascii="Arial" w:hAnsi="Arial" w:cs="Arial"/>
          <w:b/>
        </w:rPr>
        <w:t xml:space="preserve">Stakeholder Engagement Facilitator Scope </w:t>
      </w:r>
      <w:r w:rsidR="00072780" w:rsidRPr="0072206C">
        <w:rPr>
          <w:rFonts w:ascii="Arial" w:hAnsi="Arial" w:cs="Arial"/>
          <w:b/>
        </w:rPr>
        <w:t>of Work</w:t>
      </w:r>
    </w:p>
    <w:p w14:paraId="0F754E42" w14:textId="77777777" w:rsidR="0065400E" w:rsidRDefault="0065400E" w:rsidP="00D909F2">
      <w:pPr>
        <w:pStyle w:val="NoSpacing"/>
        <w:rPr>
          <w:rFonts w:ascii="Arial Narrow" w:hAnsi="Arial Narrow"/>
        </w:rPr>
      </w:pPr>
    </w:p>
    <w:p w14:paraId="2247F2B3" w14:textId="77777777" w:rsidR="00854AD4" w:rsidRPr="0072206C" w:rsidRDefault="00854AD4" w:rsidP="00D909F2">
      <w:pPr>
        <w:pStyle w:val="NoSpacing"/>
        <w:rPr>
          <w:rFonts w:ascii="Arial Narrow" w:hAnsi="Arial Narrow"/>
        </w:rPr>
      </w:pPr>
    </w:p>
    <w:p w14:paraId="3D3683C3" w14:textId="77777777" w:rsidR="0065400E" w:rsidRPr="0072206C" w:rsidRDefault="0065400E" w:rsidP="0072206C">
      <w:pPr>
        <w:pStyle w:val="NoSpacing"/>
        <w:spacing w:after="120"/>
        <w:rPr>
          <w:rFonts w:ascii="Arial Narrow" w:hAnsi="Arial Narrow"/>
          <w:b/>
        </w:rPr>
      </w:pPr>
      <w:r w:rsidRPr="0072206C">
        <w:rPr>
          <w:rFonts w:ascii="Arial Narrow" w:hAnsi="Arial Narrow"/>
          <w:b/>
        </w:rPr>
        <w:t>Task 1: Stakeholder process and meeting preparation</w:t>
      </w:r>
    </w:p>
    <w:p w14:paraId="6F69954C" w14:textId="77777777" w:rsidR="0065400E" w:rsidRPr="001E4877" w:rsidRDefault="0065400E" w:rsidP="001E4877">
      <w:r w:rsidRPr="001E4877">
        <w:t xml:space="preserve">Work to be completed under this task consists of necessary preparations to ensure each stakeholder meeting is </w:t>
      </w:r>
      <w:r w:rsidR="00072780" w:rsidRPr="001E4877">
        <w:t>run effectively, the program and meeting objectives are met, and the process is conducted in a manner that ensures stakeholders</w:t>
      </w:r>
      <w:r w:rsidRPr="001E4877">
        <w:t xml:space="preserve"> </w:t>
      </w:r>
      <w:r w:rsidR="00072780" w:rsidRPr="001E4877">
        <w:t xml:space="preserve">experience a high level of satisfaction from their participation in the process. </w:t>
      </w:r>
    </w:p>
    <w:p w14:paraId="40916D0F" w14:textId="77777777" w:rsidR="0065400E" w:rsidRPr="001E4877" w:rsidRDefault="0065400E" w:rsidP="001E4877">
      <w:pPr>
        <w:pStyle w:val="Heading2"/>
      </w:pPr>
      <w:r w:rsidRPr="001E4877">
        <w:t>Task 2: Stakeholder meeting facilitation</w:t>
      </w:r>
    </w:p>
    <w:p w14:paraId="2611BA62" w14:textId="77777777" w:rsidR="0072206C" w:rsidRPr="0072206C" w:rsidRDefault="0065400E" w:rsidP="0072206C">
      <w:pPr>
        <w:pStyle w:val="NoSpacing"/>
        <w:spacing w:after="120"/>
        <w:rPr>
          <w:rFonts w:ascii="Arial Narrow" w:hAnsi="Arial Narrow"/>
        </w:rPr>
      </w:pPr>
      <w:r w:rsidRPr="0072206C">
        <w:rPr>
          <w:rFonts w:ascii="Arial Narrow" w:hAnsi="Arial Narrow"/>
        </w:rPr>
        <w:t>This task consists of</w:t>
      </w:r>
      <w:r w:rsidR="0072206C" w:rsidRPr="0072206C">
        <w:rPr>
          <w:rFonts w:ascii="Arial Narrow" w:hAnsi="Arial Narrow"/>
        </w:rPr>
        <w:t xml:space="preserve"> planning and </w:t>
      </w:r>
      <w:r w:rsidRPr="0072206C">
        <w:rPr>
          <w:rFonts w:ascii="Arial Narrow" w:hAnsi="Arial Narrow"/>
        </w:rPr>
        <w:t xml:space="preserve">facilitation of </w:t>
      </w:r>
      <w:r w:rsidR="0038249B">
        <w:rPr>
          <w:rFonts w:ascii="Arial Narrow" w:hAnsi="Arial Narrow"/>
        </w:rPr>
        <w:t xml:space="preserve">ten to </w:t>
      </w:r>
      <w:r w:rsidR="005C76D1">
        <w:rPr>
          <w:rFonts w:ascii="Arial Narrow" w:hAnsi="Arial Narrow"/>
        </w:rPr>
        <w:t xml:space="preserve">twelve </w:t>
      </w:r>
      <w:r w:rsidRPr="0072206C">
        <w:rPr>
          <w:rFonts w:ascii="Arial Narrow" w:hAnsi="Arial Narrow"/>
        </w:rPr>
        <w:t xml:space="preserve">stakeholder meetings approximately </w:t>
      </w:r>
      <w:r w:rsidR="005C76D1">
        <w:rPr>
          <w:rFonts w:ascii="Arial Narrow" w:hAnsi="Arial Narrow"/>
        </w:rPr>
        <w:t>6</w:t>
      </w:r>
      <w:r w:rsidR="0072206C" w:rsidRPr="0072206C">
        <w:rPr>
          <w:rFonts w:ascii="Arial Narrow" w:hAnsi="Arial Narrow"/>
        </w:rPr>
        <w:t>0 minutes each</w:t>
      </w:r>
      <w:r w:rsidRPr="0072206C">
        <w:rPr>
          <w:rFonts w:ascii="Arial Narrow" w:hAnsi="Arial Narrow"/>
        </w:rPr>
        <w:t xml:space="preserve"> in duration</w:t>
      </w:r>
      <w:r w:rsidR="0072206C" w:rsidRPr="0072206C">
        <w:rPr>
          <w:rFonts w:ascii="Arial Narrow" w:hAnsi="Arial Narrow"/>
        </w:rPr>
        <w:t xml:space="preserve">, and </w:t>
      </w:r>
      <w:r w:rsidR="005C76D1">
        <w:rPr>
          <w:rFonts w:ascii="Arial Narrow" w:hAnsi="Arial Narrow"/>
        </w:rPr>
        <w:t>one (1)</w:t>
      </w:r>
      <w:r w:rsidR="0072206C" w:rsidRPr="0072206C">
        <w:rPr>
          <w:rFonts w:ascii="Arial Narrow" w:hAnsi="Arial Narrow"/>
        </w:rPr>
        <w:t xml:space="preserve"> half-day workshop</w:t>
      </w:r>
      <w:r w:rsidRPr="0072206C">
        <w:rPr>
          <w:rFonts w:ascii="Arial Narrow" w:hAnsi="Arial Narrow"/>
        </w:rPr>
        <w:t>.</w:t>
      </w:r>
      <w:r w:rsidR="00516360">
        <w:rPr>
          <w:rFonts w:ascii="Arial Narrow" w:hAnsi="Arial Narrow"/>
        </w:rPr>
        <w:t xml:space="preserve"> </w:t>
      </w:r>
      <w:r w:rsidR="0072206C" w:rsidRPr="0072206C">
        <w:rPr>
          <w:rFonts w:ascii="Arial Narrow" w:hAnsi="Arial Narrow"/>
        </w:rPr>
        <w:t xml:space="preserve">Recommend meeting design to support effectiveness and </w:t>
      </w:r>
      <w:r w:rsidR="00516360">
        <w:rPr>
          <w:rFonts w:ascii="Arial Narrow" w:hAnsi="Arial Narrow"/>
        </w:rPr>
        <w:t>high level of satisfaction from participants. Assist</w:t>
      </w:r>
      <w:r w:rsidR="0072206C" w:rsidRPr="0072206C">
        <w:rPr>
          <w:rFonts w:ascii="Arial Narrow" w:hAnsi="Arial Narrow"/>
        </w:rPr>
        <w:t xml:space="preserve"> in the development of draft agendas for the stakeholder meeting</w:t>
      </w:r>
      <w:r w:rsidR="00516360">
        <w:rPr>
          <w:rFonts w:ascii="Arial Narrow" w:hAnsi="Arial Narrow"/>
        </w:rPr>
        <w:t>s</w:t>
      </w:r>
      <w:r w:rsidR="0072206C" w:rsidRPr="0072206C">
        <w:rPr>
          <w:rFonts w:ascii="Arial Narrow" w:hAnsi="Arial Narrow"/>
        </w:rPr>
        <w:t xml:space="preserve"> and work with staff and meeting Chair </w:t>
      </w:r>
      <w:r w:rsidR="00516360">
        <w:rPr>
          <w:rFonts w:ascii="Arial Narrow" w:hAnsi="Arial Narrow"/>
        </w:rPr>
        <w:t>and Vice Chair to finalize.</w:t>
      </w:r>
    </w:p>
    <w:p w14:paraId="11280497" w14:textId="77777777" w:rsidR="00516360" w:rsidRDefault="0072206C" w:rsidP="0072206C">
      <w:pPr>
        <w:pStyle w:val="NoSpacing"/>
        <w:spacing w:after="120"/>
        <w:rPr>
          <w:rFonts w:ascii="Arial Narrow" w:hAnsi="Arial Narrow"/>
          <w:b/>
        </w:rPr>
      </w:pPr>
      <w:r w:rsidRPr="0072206C">
        <w:rPr>
          <w:rFonts w:ascii="Arial Narrow" w:hAnsi="Arial Narrow"/>
          <w:b/>
        </w:rPr>
        <w:t xml:space="preserve">Task </w:t>
      </w:r>
      <w:r w:rsidR="00516360">
        <w:rPr>
          <w:rFonts w:ascii="Arial Narrow" w:hAnsi="Arial Narrow"/>
          <w:b/>
        </w:rPr>
        <w:t>3</w:t>
      </w:r>
      <w:r w:rsidRPr="0072206C">
        <w:rPr>
          <w:rFonts w:ascii="Arial Narrow" w:hAnsi="Arial Narrow"/>
          <w:b/>
        </w:rPr>
        <w:t xml:space="preserve">: </w:t>
      </w:r>
      <w:r w:rsidR="00516360">
        <w:rPr>
          <w:rFonts w:ascii="Arial Narrow" w:hAnsi="Arial Narrow"/>
          <w:b/>
        </w:rPr>
        <w:t>Stakeholder half-day workshop planning and facilitation</w:t>
      </w:r>
    </w:p>
    <w:p w14:paraId="4744D72B" w14:textId="77777777" w:rsidR="00516360" w:rsidRPr="00516360" w:rsidRDefault="00516360" w:rsidP="0072206C">
      <w:pPr>
        <w:pStyle w:val="NoSpacing"/>
        <w:spacing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Assist in the planning and facilitation of the half-day workshop that will be attended by the Commercial Green Building Task Force and a larger group of stakeholders, including the City of Reno’s Sustainability &amp; Climate Advisory Committee. </w:t>
      </w:r>
    </w:p>
    <w:p w14:paraId="36FF5CF2" w14:textId="77777777" w:rsidR="0072206C" w:rsidRPr="0072206C" w:rsidRDefault="00516360" w:rsidP="0072206C">
      <w:pPr>
        <w:pStyle w:val="NoSpacing"/>
        <w:spacing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Task 4: </w:t>
      </w:r>
      <w:r w:rsidR="0072206C" w:rsidRPr="0072206C">
        <w:rPr>
          <w:rFonts w:ascii="Arial Narrow" w:hAnsi="Arial Narrow"/>
          <w:b/>
        </w:rPr>
        <w:t>Options for gaining consensus or consent</w:t>
      </w:r>
    </w:p>
    <w:p w14:paraId="7D9D7EF6" w14:textId="77777777" w:rsidR="0072206C" w:rsidRPr="0072206C" w:rsidRDefault="0072206C" w:rsidP="0072206C">
      <w:pPr>
        <w:pStyle w:val="NoSpacing"/>
        <w:spacing w:after="120"/>
        <w:rPr>
          <w:rFonts w:ascii="Arial Narrow" w:hAnsi="Arial Narrow"/>
        </w:rPr>
      </w:pPr>
      <w:r w:rsidRPr="0072206C">
        <w:rPr>
          <w:rFonts w:ascii="Arial Narrow" w:hAnsi="Arial Narrow"/>
        </w:rPr>
        <w:t>Help to identify and understand the potential challenges and concerns about the program early in the process and recommend options for addressing concerns in the policy and prog</w:t>
      </w:r>
      <w:r w:rsidR="00D909F2">
        <w:rPr>
          <w:rFonts w:ascii="Arial Narrow" w:hAnsi="Arial Narrow"/>
        </w:rPr>
        <w:t>ram effort.</w:t>
      </w:r>
    </w:p>
    <w:p w14:paraId="1E1C9569" w14:textId="77777777" w:rsidR="0038249B" w:rsidRDefault="0072206C" w:rsidP="0072206C">
      <w:pPr>
        <w:pStyle w:val="NoSpacing"/>
        <w:spacing w:after="120"/>
        <w:rPr>
          <w:rFonts w:ascii="Arial Narrow" w:hAnsi="Arial Narrow"/>
          <w:b/>
        </w:rPr>
      </w:pPr>
      <w:r w:rsidRPr="0072206C">
        <w:rPr>
          <w:rFonts w:ascii="Arial Narrow" w:hAnsi="Arial Narrow"/>
          <w:b/>
        </w:rPr>
        <w:t xml:space="preserve">Task </w:t>
      </w:r>
      <w:r w:rsidR="00516360">
        <w:rPr>
          <w:rFonts w:ascii="Arial Narrow" w:hAnsi="Arial Narrow"/>
          <w:b/>
        </w:rPr>
        <w:t>5</w:t>
      </w:r>
      <w:r w:rsidR="0065400E" w:rsidRPr="0072206C">
        <w:rPr>
          <w:rFonts w:ascii="Arial Narrow" w:hAnsi="Arial Narrow"/>
          <w:b/>
        </w:rPr>
        <w:t xml:space="preserve">: </w:t>
      </w:r>
      <w:r w:rsidR="00D22142">
        <w:rPr>
          <w:rFonts w:ascii="Arial Narrow" w:hAnsi="Arial Narrow"/>
          <w:b/>
        </w:rPr>
        <w:t xml:space="preserve">Strategy for </w:t>
      </w:r>
      <w:r w:rsidR="0038249B">
        <w:rPr>
          <w:rFonts w:ascii="Arial Narrow" w:hAnsi="Arial Narrow"/>
          <w:b/>
        </w:rPr>
        <w:t>Policy Introduction</w:t>
      </w:r>
    </w:p>
    <w:p w14:paraId="499CA24E" w14:textId="77777777" w:rsidR="0038249B" w:rsidRPr="00854AD4" w:rsidRDefault="00D22142" w:rsidP="00854AD4">
      <w:r>
        <w:t>Prepare</w:t>
      </w:r>
      <w:r w:rsidR="0038249B">
        <w:t xml:space="preserve"> for policy introduction to Council, </w:t>
      </w:r>
      <w:r>
        <w:t xml:space="preserve">including </w:t>
      </w:r>
      <w:r w:rsidR="0038249B">
        <w:t>process for securing stakeholder buy-in prior to presentation to Council</w:t>
      </w:r>
      <w:r>
        <w:t xml:space="preserve"> and strategy for addressing opposition to policy recommendations. </w:t>
      </w:r>
    </w:p>
    <w:p w14:paraId="190B56EA" w14:textId="77777777" w:rsidR="0065400E" w:rsidRPr="0072206C" w:rsidRDefault="0038249B" w:rsidP="0072206C">
      <w:pPr>
        <w:pStyle w:val="NoSpacing"/>
        <w:spacing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Task 6: </w:t>
      </w:r>
      <w:r w:rsidR="0065400E" w:rsidRPr="0072206C">
        <w:rPr>
          <w:rFonts w:ascii="Arial Narrow" w:hAnsi="Arial Narrow"/>
          <w:b/>
        </w:rPr>
        <w:t>Stakeholder process summary report</w:t>
      </w:r>
    </w:p>
    <w:p w14:paraId="63121AE9" w14:textId="77777777" w:rsidR="0065400E" w:rsidRPr="0072206C" w:rsidRDefault="0065400E" w:rsidP="0072206C">
      <w:pPr>
        <w:pStyle w:val="NoSpacing"/>
        <w:spacing w:after="120"/>
        <w:rPr>
          <w:rFonts w:ascii="Arial Narrow" w:hAnsi="Arial Narrow"/>
        </w:rPr>
      </w:pPr>
      <w:r w:rsidRPr="0072206C">
        <w:rPr>
          <w:rFonts w:ascii="Arial Narrow" w:hAnsi="Arial Narrow"/>
        </w:rPr>
        <w:t>At the conclusion of the stakeholder process, the Consultant will produce a stakeholder process summary report.  This report will summarize the overall outcomes of the process.</w:t>
      </w:r>
    </w:p>
    <w:p w14:paraId="489F368F" w14:textId="77777777" w:rsidR="0065400E" w:rsidRDefault="0065400E" w:rsidP="001E4877"/>
    <w:p w14:paraId="1EFCE497" w14:textId="77777777" w:rsidR="00854AD4" w:rsidRDefault="00854AD4" w:rsidP="001E4877"/>
    <w:p w14:paraId="66DA4A1F" w14:textId="77777777" w:rsidR="0072206C" w:rsidRPr="001E4877" w:rsidRDefault="0072206C" w:rsidP="001E4877">
      <w:pPr>
        <w:pStyle w:val="Heading1"/>
      </w:pPr>
      <w:r w:rsidRPr="001E4877">
        <w:t>BUDGET ESTIMATE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83"/>
        <w:gridCol w:w="852"/>
        <w:gridCol w:w="714"/>
        <w:gridCol w:w="1291"/>
      </w:tblGrid>
      <w:tr w:rsidR="0072206C" w:rsidRPr="001E4877" w14:paraId="55DF9680" w14:textId="77777777" w:rsidTr="001E4877">
        <w:trPr>
          <w:trHeight w:hRule="exact" w:val="288"/>
        </w:trPr>
        <w:tc>
          <w:tcPr>
            <w:tcW w:w="347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5B5B5" w:themeFill="text2" w:themeFillTint="99"/>
            <w:noWrap/>
            <w:vAlign w:val="center"/>
            <w:hideMark/>
          </w:tcPr>
          <w:p w14:paraId="5F5A7C39" w14:textId="77777777" w:rsidR="0072206C" w:rsidRPr="001E4877" w:rsidRDefault="0072206C" w:rsidP="001E4877">
            <w:pPr>
              <w:rPr>
                <w:sz w:val="20"/>
                <w:szCs w:val="20"/>
              </w:rPr>
            </w:pPr>
            <w:r w:rsidRPr="001E4877">
              <w:rPr>
                <w:sz w:val="20"/>
                <w:szCs w:val="20"/>
              </w:rPr>
              <w:t>Description</w:t>
            </w:r>
          </w:p>
        </w:tc>
        <w:tc>
          <w:tcPr>
            <w:tcW w:w="456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5B5B5" w:themeFill="text2" w:themeFillTint="99"/>
            <w:noWrap/>
            <w:vAlign w:val="center"/>
            <w:hideMark/>
          </w:tcPr>
          <w:p w14:paraId="2D5C854D" w14:textId="77777777" w:rsidR="0072206C" w:rsidRPr="001E4877" w:rsidRDefault="0072206C" w:rsidP="001E4877">
            <w:pPr>
              <w:jc w:val="center"/>
              <w:rPr>
                <w:sz w:val="20"/>
                <w:szCs w:val="20"/>
              </w:rPr>
            </w:pPr>
            <w:r w:rsidRPr="001E4877">
              <w:rPr>
                <w:sz w:val="20"/>
                <w:szCs w:val="20"/>
              </w:rPr>
              <w:t>Hours</w:t>
            </w:r>
          </w:p>
        </w:tc>
        <w:tc>
          <w:tcPr>
            <w:tcW w:w="382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5B5B5" w:themeFill="text2" w:themeFillTint="99"/>
            <w:noWrap/>
            <w:vAlign w:val="center"/>
            <w:hideMark/>
          </w:tcPr>
          <w:p w14:paraId="5172B8B5" w14:textId="77777777" w:rsidR="0072206C" w:rsidRPr="001E4877" w:rsidRDefault="0072206C" w:rsidP="001E4877">
            <w:pPr>
              <w:jc w:val="center"/>
              <w:rPr>
                <w:sz w:val="20"/>
                <w:szCs w:val="20"/>
              </w:rPr>
            </w:pPr>
            <w:r w:rsidRPr="001E4877">
              <w:rPr>
                <w:sz w:val="20"/>
                <w:szCs w:val="20"/>
              </w:rPr>
              <w:t>Rate</w:t>
            </w:r>
          </w:p>
        </w:tc>
        <w:tc>
          <w:tcPr>
            <w:tcW w:w="691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5B5B5" w:themeFill="text2" w:themeFillTint="99"/>
            <w:noWrap/>
            <w:vAlign w:val="center"/>
            <w:hideMark/>
          </w:tcPr>
          <w:p w14:paraId="3924DA83" w14:textId="77777777" w:rsidR="0072206C" w:rsidRPr="001E4877" w:rsidRDefault="0072206C" w:rsidP="001E4877">
            <w:pPr>
              <w:jc w:val="right"/>
              <w:rPr>
                <w:sz w:val="20"/>
                <w:szCs w:val="20"/>
              </w:rPr>
            </w:pPr>
            <w:r w:rsidRPr="001E4877">
              <w:rPr>
                <w:sz w:val="20"/>
                <w:szCs w:val="20"/>
              </w:rPr>
              <w:t>Total</w:t>
            </w:r>
          </w:p>
        </w:tc>
      </w:tr>
      <w:tr w:rsidR="0072206C" w:rsidRPr="001E4877" w14:paraId="539ABC82" w14:textId="77777777" w:rsidTr="001E4877">
        <w:trPr>
          <w:trHeight w:hRule="exact" w:val="288"/>
        </w:trPr>
        <w:tc>
          <w:tcPr>
            <w:tcW w:w="3471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D9D8E34" w14:textId="77777777" w:rsidR="0072206C" w:rsidRPr="001E4877" w:rsidRDefault="0072206C" w:rsidP="001E4877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20"/>
                <w:szCs w:val="20"/>
              </w:rPr>
            </w:pPr>
            <w:r w:rsidRPr="001E4877">
              <w:rPr>
                <w:sz w:val="20"/>
                <w:szCs w:val="20"/>
              </w:rPr>
              <w:t>Stakeholder Process Plan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0655BB3" w14:textId="77777777" w:rsidR="0072206C" w:rsidRPr="001E4877" w:rsidRDefault="0072206C" w:rsidP="001E4877">
            <w:pPr>
              <w:jc w:val="center"/>
              <w:rPr>
                <w:sz w:val="20"/>
                <w:szCs w:val="20"/>
              </w:rPr>
            </w:pPr>
            <w:r w:rsidRPr="001E4877">
              <w:rPr>
                <w:sz w:val="20"/>
                <w:szCs w:val="20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B7BB0C6" w14:textId="77777777" w:rsidR="0072206C" w:rsidRPr="001E4877" w:rsidRDefault="0072206C" w:rsidP="001E4877">
            <w:pPr>
              <w:jc w:val="center"/>
              <w:rPr>
                <w:sz w:val="20"/>
                <w:szCs w:val="20"/>
              </w:rPr>
            </w:pPr>
            <w:r w:rsidRPr="001E4877">
              <w:rPr>
                <w:sz w:val="20"/>
                <w:szCs w:val="20"/>
              </w:rPr>
              <w:t>$150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3399877" w14:textId="77777777" w:rsidR="0072206C" w:rsidRPr="001E4877" w:rsidRDefault="0072206C" w:rsidP="001E4877">
            <w:pPr>
              <w:jc w:val="right"/>
              <w:rPr>
                <w:sz w:val="20"/>
                <w:szCs w:val="20"/>
              </w:rPr>
            </w:pPr>
            <w:r w:rsidRPr="001E4877">
              <w:rPr>
                <w:sz w:val="20"/>
                <w:szCs w:val="20"/>
              </w:rPr>
              <w:t xml:space="preserve">$600.00 </w:t>
            </w:r>
          </w:p>
        </w:tc>
      </w:tr>
      <w:tr w:rsidR="0072206C" w:rsidRPr="001E4877" w14:paraId="7753B401" w14:textId="77777777" w:rsidTr="001E4877">
        <w:trPr>
          <w:trHeight w:hRule="exact" w:val="288"/>
        </w:trPr>
        <w:tc>
          <w:tcPr>
            <w:tcW w:w="3471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23EB8AB" w14:textId="77777777" w:rsidR="0072206C" w:rsidRPr="001E4877" w:rsidRDefault="0072206C" w:rsidP="001E4877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20"/>
                <w:szCs w:val="20"/>
              </w:rPr>
            </w:pPr>
            <w:r w:rsidRPr="001E4877">
              <w:rPr>
                <w:sz w:val="20"/>
                <w:szCs w:val="20"/>
              </w:rPr>
              <w:t>Stakeholder Meeting Planning</w:t>
            </w:r>
            <w:r w:rsidR="0038249B">
              <w:rPr>
                <w:sz w:val="20"/>
                <w:szCs w:val="20"/>
              </w:rPr>
              <w:t xml:space="preserve"> for 10 – 12 Meetings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B3F691C" w14:textId="77777777" w:rsidR="0072206C" w:rsidRPr="001E4877" w:rsidRDefault="00B83B50" w:rsidP="001E4877">
            <w:pPr>
              <w:jc w:val="center"/>
              <w:rPr>
                <w:sz w:val="20"/>
                <w:szCs w:val="20"/>
              </w:rPr>
            </w:pPr>
            <w:r w:rsidRPr="001E4877">
              <w:rPr>
                <w:sz w:val="20"/>
                <w:szCs w:val="20"/>
              </w:rPr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AB05413" w14:textId="77777777" w:rsidR="0072206C" w:rsidRPr="001E4877" w:rsidRDefault="0072206C" w:rsidP="001E4877">
            <w:pPr>
              <w:jc w:val="center"/>
              <w:rPr>
                <w:sz w:val="20"/>
                <w:szCs w:val="20"/>
              </w:rPr>
            </w:pPr>
            <w:r w:rsidRPr="001E4877">
              <w:rPr>
                <w:sz w:val="20"/>
                <w:szCs w:val="20"/>
              </w:rPr>
              <w:t>$150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9965550" w14:textId="77777777" w:rsidR="0072206C" w:rsidRPr="001E4877" w:rsidRDefault="0072206C" w:rsidP="001E4877">
            <w:pPr>
              <w:jc w:val="right"/>
              <w:rPr>
                <w:sz w:val="20"/>
                <w:szCs w:val="20"/>
              </w:rPr>
            </w:pPr>
            <w:r w:rsidRPr="001E4877">
              <w:rPr>
                <w:sz w:val="20"/>
                <w:szCs w:val="20"/>
              </w:rPr>
              <w:t>$</w:t>
            </w:r>
            <w:r w:rsidR="00B83B50" w:rsidRPr="001E4877">
              <w:rPr>
                <w:sz w:val="20"/>
                <w:szCs w:val="20"/>
              </w:rPr>
              <w:t>1,5</w:t>
            </w:r>
            <w:r w:rsidRPr="001E4877">
              <w:rPr>
                <w:sz w:val="20"/>
                <w:szCs w:val="20"/>
              </w:rPr>
              <w:t xml:space="preserve">00.00 </w:t>
            </w:r>
          </w:p>
        </w:tc>
      </w:tr>
      <w:tr w:rsidR="0072206C" w:rsidRPr="001E4877" w14:paraId="48BFE321" w14:textId="77777777" w:rsidTr="001E4877">
        <w:trPr>
          <w:trHeight w:hRule="exact" w:val="288"/>
        </w:trPr>
        <w:tc>
          <w:tcPr>
            <w:tcW w:w="3471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12D7150" w14:textId="77777777" w:rsidR="0072206C" w:rsidRPr="001E4877" w:rsidRDefault="0072206C" w:rsidP="001E4877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20"/>
                <w:szCs w:val="20"/>
              </w:rPr>
            </w:pPr>
            <w:r w:rsidRPr="001E4877">
              <w:rPr>
                <w:sz w:val="20"/>
                <w:szCs w:val="20"/>
              </w:rPr>
              <w:t>Stakeholder Meeting Facilitation</w:t>
            </w:r>
            <w:r w:rsidR="0038249B">
              <w:rPr>
                <w:sz w:val="20"/>
                <w:szCs w:val="20"/>
              </w:rPr>
              <w:t xml:space="preserve"> for 10 – 12 Meetings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760FA15" w14:textId="77777777" w:rsidR="0072206C" w:rsidRPr="001E4877" w:rsidRDefault="00D22142" w:rsidP="00D22142">
            <w:pPr>
              <w:jc w:val="center"/>
              <w:rPr>
                <w:sz w:val="20"/>
                <w:szCs w:val="20"/>
              </w:rPr>
            </w:pPr>
            <w:r w:rsidRPr="001E48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E66C04F" w14:textId="77777777" w:rsidR="0072206C" w:rsidRPr="001E4877" w:rsidRDefault="0072206C" w:rsidP="001E4877">
            <w:pPr>
              <w:jc w:val="center"/>
              <w:rPr>
                <w:sz w:val="20"/>
                <w:szCs w:val="20"/>
              </w:rPr>
            </w:pPr>
            <w:r w:rsidRPr="001E4877">
              <w:rPr>
                <w:sz w:val="20"/>
                <w:szCs w:val="20"/>
              </w:rPr>
              <w:t>$150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6EC77E1" w14:textId="77777777" w:rsidR="0072206C" w:rsidRPr="001E4877" w:rsidRDefault="0072206C" w:rsidP="001E4877">
            <w:pPr>
              <w:jc w:val="right"/>
              <w:rPr>
                <w:sz w:val="20"/>
                <w:szCs w:val="20"/>
              </w:rPr>
            </w:pPr>
            <w:r w:rsidRPr="001E4877">
              <w:rPr>
                <w:sz w:val="20"/>
                <w:szCs w:val="20"/>
              </w:rPr>
              <w:t>$3,</w:t>
            </w:r>
            <w:r w:rsidR="00D22142">
              <w:rPr>
                <w:sz w:val="20"/>
                <w:szCs w:val="20"/>
              </w:rPr>
              <w:t>0</w:t>
            </w:r>
            <w:r w:rsidRPr="001E4877">
              <w:rPr>
                <w:sz w:val="20"/>
                <w:szCs w:val="20"/>
              </w:rPr>
              <w:t xml:space="preserve">00.00 </w:t>
            </w:r>
          </w:p>
        </w:tc>
      </w:tr>
      <w:tr w:rsidR="0072206C" w:rsidRPr="001E4877" w14:paraId="51FDB4DC" w14:textId="77777777" w:rsidTr="001E4877">
        <w:trPr>
          <w:trHeight w:hRule="exact" w:val="288"/>
        </w:trPr>
        <w:tc>
          <w:tcPr>
            <w:tcW w:w="3471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4795484" w14:textId="77777777" w:rsidR="0072206C" w:rsidRPr="001E4877" w:rsidRDefault="0072206C" w:rsidP="001E4877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20"/>
                <w:szCs w:val="20"/>
              </w:rPr>
            </w:pPr>
            <w:r w:rsidRPr="001E4877">
              <w:rPr>
                <w:sz w:val="20"/>
                <w:szCs w:val="20"/>
              </w:rPr>
              <w:t>Stakeholder Workshop Planning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DABF22B" w14:textId="77777777" w:rsidR="0072206C" w:rsidRPr="001E4877" w:rsidRDefault="00D22142" w:rsidP="00D22142">
            <w:pPr>
              <w:jc w:val="center"/>
              <w:rPr>
                <w:sz w:val="20"/>
                <w:szCs w:val="20"/>
              </w:rPr>
            </w:pPr>
            <w:r w:rsidRPr="001E48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8762787" w14:textId="77777777" w:rsidR="0072206C" w:rsidRPr="001E4877" w:rsidRDefault="0072206C" w:rsidP="001E4877">
            <w:pPr>
              <w:jc w:val="center"/>
              <w:rPr>
                <w:sz w:val="20"/>
                <w:szCs w:val="20"/>
              </w:rPr>
            </w:pPr>
            <w:r w:rsidRPr="001E4877">
              <w:rPr>
                <w:sz w:val="20"/>
                <w:szCs w:val="20"/>
              </w:rPr>
              <w:t>$150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7D71998" w14:textId="77777777" w:rsidR="0072206C" w:rsidRPr="001E4877" w:rsidRDefault="0072206C" w:rsidP="00D22142">
            <w:pPr>
              <w:jc w:val="right"/>
              <w:rPr>
                <w:sz w:val="20"/>
                <w:szCs w:val="20"/>
              </w:rPr>
            </w:pPr>
            <w:r w:rsidRPr="001E4877">
              <w:rPr>
                <w:sz w:val="20"/>
                <w:szCs w:val="20"/>
              </w:rPr>
              <w:t>$</w:t>
            </w:r>
            <w:r w:rsidR="00B83B50" w:rsidRPr="001E4877">
              <w:rPr>
                <w:sz w:val="20"/>
                <w:szCs w:val="20"/>
              </w:rPr>
              <w:t>2,</w:t>
            </w:r>
            <w:r w:rsidR="00D22142">
              <w:rPr>
                <w:sz w:val="20"/>
                <w:szCs w:val="20"/>
              </w:rPr>
              <w:t>4</w:t>
            </w:r>
            <w:r w:rsidR="00D22142" w:rsidRPr="001E4877">
              <w:rPr>
                <w:sz w:val="20"/>
                <w:szCs w:val="20"/>
              </w:rPr>
              <w:t>00</w:t>
            </w:r>
            <w:r w:rsidRPr="001E4877">
              <w:rPr>
                <w:sz w:val="20"/>
                <w:szCs w:val="20"/>
              </w:rPr>
              <w:t xml:space="preserve">.00 </w:t>
            </w:r>
          </w:p>
        </w:tc>
      </w:tr>
      <w:tr w:rsidR="0072206C" w:rsidRPr="001E4877" w14:paraId="1DBE5664" w14:textId="77777777" w:rsidTr="001E4877">
        <w:trPr>
          <w:trHeight w:hRule="exact" w:val="288"/>
        </w:trPr>
        <w:tc>
          <w:tcPr>
            <w:tcW w:w="3471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D103132" w14:textId="77777777" w:rsidR="0072206C" w:rsidRPr="001E4877" w:rsidRDefault="0072206C" w:rsidP="001E4877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20"/>
                <w:szCs w:val="20"/>
              </w:rPr>
            </w:pPr>
            <w:r w:rsidRPr="001E4877">
              <w:rPr>
                <w:sz w:val="20"/>
                <w:szCs w:val="20"/>
              </w:rPr>
              <w:t>Stakeholder Workshop Facilitation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13BF367" w14:textId="77777777" w:rsidR="0072206C" w:rsidRPr="001E4877" w:rsidRDefault="00617551" w:rsidP="001E4877">
            <w:pPr>
              <w:jc w:val="center"/>
              <w:rPr>
                <w:sz w:val="20"/>
                <w:szCs w:val="20"/>
              </w:rPr>
            </w:pPr>
            <w:r w:rsidRPr="001E4877">
              <w:rPr>
                <w:sz w:val="20"/>
                <w:szCs w:val="20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3F57EA6" w14:textId="77777777" w:rsidR="0072206C" w:rsidRPr="001E4877" w:rsidRDefault="0072206C" w:rsidP="001E4877">
            <w:pPr>
              <w:jc w:val="center"/>
              <w:rPr>
                <w:sz w:val="20"/>
                <w:szCs w:val="20"/>
              </w:rPr>
            </w:pPr>
            <w:r w:rsidRPr="001E4877">
              <w:rPr>
                <w:sz w:val="20"/>
                <w:szCs w:val="20"/>
              </w:rPr>
              <w:t>$150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C08840A" w14:textId="77777777" w:rsidR="0072206C" w:rsidRPr="001E4877" w:rsidRDefault="0072206C" w:rsidP="001E4877">
            <w:pPr>
              <w:jc w:val="right"/>
              <w:rPr>
                <w:sz w:val="20"/>
                <w:szCs w:val="20"/>
              </w:rPr>
            </w:pPr>
            <w:r w:rsidRPr="001E4877">
              <w:rPr>
                <w:sz w:val="20"/>
                <w:szCs w:val="20"/>
              </w:rPr>
              <w:t>$</w:t>
            </w:r>
            <w:r w:rsidR="00617551" w:rsidRPr="001E4877">
              <w:rPr>
                <w:sz w:val="20"/>
                <w:szCs w:val="20"/>
              </w:rPr>
              <w:t>9</w:t>
            </w:r>
            <w:r w:rsidRPr="001E4877">
              <w:rPr>
                <w:sz w:val="20"/>
                <w:szCs w:val="20"/>
              </w:rPr>
              <w:t xml:space="preserve">00.00 </w:t>
            </w:r>
          </w:p>
        </w:tc>
      </w:tr>
      <w:tr w:rsidR="0038249B" w:rsidRPr="001E4877" w14:paraId="3D7752A2" w14:textId="77777777" w:rsidTr="002A7282">
        <w:trPr>
          <w:trHeight w:hRule="exact" w:val="288"/>
        </w:trPr>
        <w:tc>
          <w:tcPr>
            <w:tcW w:w="3471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A04FD64" w14:textId="77777777" w:rsidR="0038249B" w:rsidRPr="001E4877" w:rsidRDefault="0038249B" w:rsidP="002A7282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20"/>
                <w:szCs w:val="20"/>
              </w:rPr>
            </w:pPr>
            <w:r w:rsidRPr="001E4877">
              <w:rPr>
                <w:sz w:val="20"/>
                <w:szCs w:val="20"/>
              </w:rPr>
              <w:t>Evaluation of Stakeholder Process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C79AE9C" w14:textId="77777777" w:rsidR="0038249B" w:rsidRPr="001E4877" w:rsidRDefault="00D22142" w:rsidP="002A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32C62E1" w14:textId="77777777" w:rsidR="0038249B" w:rsidRPr="001E4877" w:rsidRDefault="0038249B" w:rsidP="002A7282">
            <w:pPr>
              <w:jc w:val="center"/>
              <w:rPr>
                <w:sz w:val="20"/>
                <w:szCs w:val="20"/>
              </w:rPr>
            </w:pPr>
            <w:r w:rsidRPr="001E4877">
              <w:rPr>
                <w:sz w:val="20"/>
                <w:szCs w:val="20"/>
              </w:rPr>
              <w:t>$150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8D9FACC" w14:textId="77777777" w:rsidR="0038249B" w:rsidRPr="001E4877" w:rsidRDefault="0038249B" w:rsidP="002A7282">
            <w:pPr>
              <w:jc w:val="right"/>
              <w:rPr>
                <w:sz w:val="20"/>
                <w:szCs w:val="20"/>
              </w:rPr>
            </w:pPr>
            <w:r w:rsidRPr="001E4877">
              <w:rPr>
                <w:sz w:val="20"/>
                <w:szCs w:val="20"/>
              </w:rPr>
              <w:t xml:space="preserve">$1,200.00 </w:t>
            </w:r>
          </w:p>
        </w:tc>
      </w:tr>
      <w:tr w:rsidR="0038249B" w:rsidRPr="001E4877" w14:paraId="258E0B60" w14:textId="77777777" w:rsidTr="001E4877">
        <w:trPr>
          <w:trHeight w:hRule="exact" w:val="288"/>
        </w:trPr>
        <w:tc>
          <w:tcPr>
            <w:tcW w:w="3471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5A9D843" w14:textId="77777777" w:rsidR="0038249B" w:rsidRPr="001E4877" w:rsidRDefault="00D22142" w:rsidP="001E4877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Strategy for </w:t>
            </w:r>
            <w:r w:rsidR="0038249B">
              <w:rPr>
                <w:sz w:val="20"/>
                <w:szCs w:val="20"/>
              </w:rPr>
              <w:t xml:space="preserve">Policy Introduction to Council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FDA39C9" w14:textId="77777777" w:rsidR="0038249B" w:rsidRPr="001E4877" w:rsidRDefault="00D22142" w:rsidP="001E4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1E7BDBE" w14:textId="77777777" w:rsidR="0038249B" w:rsidRPr="001E4877" w:rsidRDefault="00D22142" w:rsidP="001E4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2670740" w14:textId="77777777" w:rsidR="0038249B" w:rsidRPr="001E4877" w:rsidRDefault="00D22142" w:rsidP="001E48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$900</w:t>
            </w:r>
          </w:p>
        </w:tc>
      </w:tr>
      <w:tr w:rsidR="0072206C" w:rsidRPr="001E4877" w14:paraId="470E8B49" w14:textId="77777777" w:rsidTr="001E4877">
        <w:trPr>
          <w:trHeight w:hRule="exact" w:val="288"/>
        </w:trPr>
        <w:tc>
          <w:tcPr>
            <w:tcW w:w="3471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B5B5B5"/>
            <w:noWrap/>
            <w:vAlign w:val="center"/>
            <w:hideMark/>
          </w:tcPr>
          <w:p w14:paraId="555735A5" w14:textId="77777777" w:rsidR="0072206C" w:rsidRPr="001E4877" w:rsidRDefault="0072206C" w:rsidP="001E4877">
            <w:pPr>
              <w:rPr>
                <w:sz w:val="20"/>
                <w:szCs w:val="20"/>
              </w:rPr>
            </w:pPr>
            <w:r w:rsidRPr="001E4877">
              <w:rPr>
                <w:sz w:val="20"/>
                <w:szCs w:val="20"/>
              </w:rPr>
              <w:t xml:space="preserve">TOTAL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B5B5B5"/>
            <w:noWrap/>
            <w:vAlign w:val="center"/>
            <w:hideMark/>
          </w:tcPr>
          <w:p w14:paraId="0DB1D7A2" w14:textId="77777777" w:rsidR="0072206C" w:rsidRPr="001E4877" w:rsidRDefault="0072206C" w:rsidP="001E4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B5B5B5"/>
            <w:noWrap/>
            <w:vAlign w:val="center"/>
            <w:hideMark/>
          </w:tcPr>
          <w:p w14:paraId="7AAA0969" w14:textId="77777777" w:rsidR="0072206C" w:rsidRPr="001E4877" w:rsidRDefault="0072206C" w:rsidP="001E4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B5B5B5"/>
            <w:noWrap/>
            <w:vAlign w:val="center"/>
            <w:hideMark/>
          </w:tcPr>
          <w:p w14:paraId="6837FDC0" w14:textId="77777777" w:rsidR="0072206C" w:rsidRPr="001E4877" w:rsidRDefault="0072206C" w:rsidP="00D22142">
            <w:pPr>
              <w:jc w:val="right"/>
              <w:rPr>
                <w:sz w:val="20"/>
                <w:szCs w:val="20"/>
              </w:rPr>
            </w:pPr>
            <w:r w:rsidRPr="001E4877">
              <w:rPr>
                <w:sz w:val="20"/>
                <w:szCs w:val="20"/>
              </w:rPr>
              <w:t>$</w:t>
            </w:r>
            <w:r w:rsidR="00D22142">
              <w:rPr>
                <w:sz w:val="20"/>
                <w:szCs w:val="20"/>
              </w:rPr>
              <w:t>10,5</w:t>
            </w:r>
            <w:r w:rsidRPr="001E4877">
              <w:rPr>
                <w:sz w:val="20"/>
                <w:szCs w:val="20"/>
              </w:rPr>
              <w:t xml:space="preserve">00.00 </w:t>
            </w:r>
          </w:p>
        </w:tc>
      </w:tr>
    </w:tbl>
    <w:p w14:paraId="140255E0" w14:textId="77777777" w:rsidR="0072206C" w:rsidRPr="0072206C" w:rsidRDefault="0072206C" w:rsidP="001E4877"/>
    <w:p w14:paraId="38A52A7F" w14:textId="77777777" w:rsidR="00854AD4" w:rsidRDefault="00854AD4" w:rsidP="005A6264">
      <w:pPr>
        <w:pStyle w:val="NoSpacing"/>
        <w:spacing w:after="120"/>
        <w:rPr>
          <w:rFonts w:ascii="Arial Narrow" w:hAnsi="Arial Narrow"/>
          <w:b/>
        </w:rPr>
      </w:pPr>
    </w:p>
    <w:p w14:paraId="335C25DA" w14:textId="77777777" w:rsidR="00854AD4" w:rsidRDefault="00854AD4" w:rsidP="005A6264">
      <w:pPr>
        <w:pStyle w:val="NoSpacing"/>
        <w:spacing w:after="120"/>
        <w:rPr>
          <w:rFonts w:ascii="Arial Narrow" w:hAnsi="Arial Narrow"/>
          <w:b/>
        </w:rPr>
      </w:pPr>
    </w:p>
    <w:p w14:paraId="7124DC42" w14:textId="77777777" w:rsidR="005A6264" w:rsidRDefault="005A6264" w:rsidP="005A6264">
      <w:pPr>
        <w:pStyle w:val="NoSpacing"/>
        <w:spacing w:after="120"/>
        <w:rPr>
          <w:rFonts w:ascii="Arial Narrow" w:hAnsi="Arial Narrow"/>
          <w:b/>
        </w:rPr>
      </w:pPr>
      <w:r w:rsidRPr="005A6264">
        <w:rPr>
          <w:rFonts w:ascii="Arial Narrow" w:hAnsi="Arial Narrow"/>
          <w:b/>
        </w:rPr>
        <w:lastRenderedPageBreak/>
        <w:t>SCHEDULE</w:t>
      </w:r>
    </w:p>
    <w:p w14:paraId="2E22B56E" w14:textId="77777777" w:rsidR="00D22142" w:rsidRPr="005A6264" w:rsidRDefault="00D22142" w:rsidP="005A6264">
      <w:pPr>
        <w:pStyle w:val="NoSpacing"/>
        <w:spacing w:after="120"/>
        <w:rPr>
          <w:rFonts w:ascii="Arial Narrow" w:hAnsi="Arial Narrow"/>
          <w:b/>
        </w:rPr>
      </w:pPr>
      <w:r w:rsidRPr="00D22142">
        <w:rPr>
          <w:noProof/>
        </w:rPr>
        <w:drawing>
          <wp:inline distT="0" distB="0" distL="0" distR="0" wp14:anchorId="678EC07C" wp14:editId="6A7B3733">
            <wp:extent cx="5943600" cy="14687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714B5" w14:textId="77777777" w:rsidR="0072206C" w:rsidRDefault="0072206C" w:rsidP="005C76D1">
      <w:pPr>
        <w:pStyle w:val="NoSpacing"/>
        <w:spacing w:after="120"/>
        <w:rPr>
          <w:rFonts w:ascii="Arial Narrow" w:hAnsi="Arial Narrow"/>
        </w:rPr>
      </w:pPr>
    </w:p>
    <w:p w14:paraId="33020BC4" w14:textId="77777777" w:rsidR="00854AD4" w:rsidRDefault="00854AD4" w:rsidP="005C76D1">
      <w:pPr>
        <w:pStyle w:val="NoSpacing"/>
        <w:spacing w:after="120"/>
        <w:rPr>
          <w:rFonts w:ascii="Arial Narrow" w:hAnsi="Arial Narrow"/>
        </w:rPr>
      </w:pPr>
    </w:p>
    <w:p w14:paraId="708A37E4" w14:textId="77777777" w:rsidR="001E4877" w:rsidRDefault="001E4877" w:rsidP="001E4877">
      <w:pPr>
        <w:pStyle w:val="Heading1"/>
      </w:pPr>
      <w:r>
        <w:t>FACILITATOR</w:t>
      </w:r>
    </w:p>
    <w:p w14:paraId="018F0FEE" w14:textId="77777777" w:rsidR="001E4877" w:rsidRDefault="001E4877" w:rsidP="001E4877">
      <w:pPr>
        <w:pStyle w:val="Heading2"/>
      </w:pPr>
      <w:r>
        <w:t>Jane Grossman, Catalyst &amp; Facilitator, IMPAQ</w:t>
      </w:r>
    </w:p>
    <w:p w14:paraId="6862D8BA" w14:textId="77777777" w:rsidR="001E4877" w:rsidRDefault="001E4877" w:rsidP="001E4877">
      <w:r>
        <w:t>Jane</w:t>
      </w:r>
      <w:r w:rsidRPr="00304710">
        <w:t>, an accomplished facilitator and consultant in Accountability-Based training and consulting, has more than 15 years working with diverse teams at all levels. Prior to working with </w:t>
      </w:r>
      <w:r w:rsidRPr="00304710">
        <w:rPr>
          <w:b/>
        </w:rPr>
        <w:t>IMPAQ</w:t>
      </w:r>
      <w:r w:rsidRPr="00304710">
        <w:t>, Jane worked for Adventure Associates as one their lead program designers and facilitators. Before becoming a management consultant, Jane worked for 10 years in leadership roles in government and non-profit agencies developing and managing ground breaking environmental programs.</w:t>
      </w:r>
    </w:p>
    <w:p w14:paraId="33214B69" w14:textId="77777777" w:rsidR="001E4877" w:rsidRPr="0043639C" w:rsidRDefault="001E4877" w:rsidP="001E4877">
      <w:r>
        <w:t>For almost 25 years, Jane has been a catalyst for positive change and exceptional business results for</w:t>
      </w:r>
      <w:r w:rsidRPr="0043639C">
        <w:t xml:space="preserve"> </w:t>
      </w:r>
      <w:r>
        <w:t xml:space="preserve">diverse </w:t>
      </w:r>
      <w:r w:rsidRPr="0043639C">
        <w:t xml:space="preserve">companies </w:t>
      </w:r>
      <w:r>
        <w:t>including</w:t>
      </w:r>
      <w:r w:rsidRPr="0043639C">
        <w:t xml:space="preserve"> Genentech &amp; Roche, the U</w:t>
      </w:r>
      <w:r>
        <w:t>.</w:t>
      </w:r>
      <w:r w:rsidRPr="0043639C">
        <w:t>S</w:t>
      </w:r>
      <w:r>
        <w:t>.</w:t>
      </w:r>
      <w:r w:rsidRPr="0043639C">
        <w:t xml:space="preserve"> Forest Service</w:t>
      </w:r>
      <w:r>
        <w:t xml:space="preserve">, Microsoft, </w:t>
      </w:r>
      <w:r w:rsidRPr="0043639C">
        <w:t>REI,</w:t>
      </w:r>
      <w:r>
        <w:t xml:space="preserve"> Nevada AmeriCorps and UC San Francisco.</w:t>
      </w:r>
    </w:p>
    <w:p w14:paraId="1F56D968" w14:textId="77777777" w:rsidR="001E4877" w:rsidRDefault="001E4877" w:rsidP="001E4877">
      <w:r w:rsidRPr="0043639C">
        <w:t xml:space="preserve">Jane received her Masters’ Degree in Applied Psychology from the University of Santa Monica and a </w:t>
      </w:r>
      <w:proofErr w:type="gramStart"/>
      <w:r w:rsidRPr="0043639C">
        <w:t>Bachelor’s Degree</w:t>
      </w:r>
      <w:proofErr w:type="gramEnd"/>
      <w:r w:rsidRPr="0043639C">
        <w:t xml:space="preserve"> in </w:t>
      </w:r>
      <w:r>
        <w:t>“</w:t>
      </w:r>
      <w:r w:rsidRPr="0043639C">
        <w:t xml:space="preserve">Political </w:t>
      </w:r>
      <w:r>
        <w:t>Economy of Natural Resources”</w:t>
      </w:r>
      <w:r w:rsidRPr="0043639C">
        <w:t xml:space="preserve"> </w:t>
      </w:r>
      <w:r>
        <w:t>f</w:t>
      </w:r>
      <w:r w:rsidRPr="0043639C">
        <w:t xml:space="preserve">rom UC Berkeley. </w:t>
      </w:r>
    </w:p>
    <w:p w14:paraId="61DF3196" w14:textId="77777777" w:rsidR="001E4877" w:rsidRDefault="001E4877" w:rsidP="001E4877">
      <w:r w:rsidRPr="00304710">
        <w:t xml:space="preserve">IMPAQ is a global leader in Consulting &amp; Training services that increase Personal, Team and Organizational Accountability. For more than two-decades, IMPAQ has successfully worked with Fortune 100 clients around the world to improve performance execution while achieving sustainable business growth. IMPAQ Founder, best-selling Author, and renowned Speaker, Mark Samuel, has successfully </w:t>
      </w:r>
      <w:proofErr w:type="gramStart"/>
      <w:r w:rsidRPr="00304710">
        <w:t>lead</w:t>
      </w:r>
      <w:proofErr w:type="gramEnd"/>
      <w:r w:rsidRPr="00304710">
        <w:t xml:space="preserve"> and delivered culture transformation to establish corporate transparency and high-performance habits that have resulted in improved Measurements, Performance, and Profitability!</w:t>
      </w:r>
    </w:p>
    <w:p w14:paraId="4A7E3A48" w14:textId="77777777" w:rsidR="001E4877" w:rsidRPr="001E4877" w:rsidRDefault="001E4877" w:rsidP="001E4877"/>
    <w:sectPr w:rsidR="001E4877" w:rsidRPr="001E4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E8BEA" w14:textId="77777777" w:rsidR="00F0239D" w:rsidRDefault="00F0239D" w:rsidP="001E4877">
      <w:r>
        <w:separator/>
      </w:r>
    </w:p>
  </w:endnote>
  <w:endnote w:type="continuationSeparator" w:id="0">
    <w:p w14:paraId="7E594DEC" w14:textId="77777777" w:rsidR="00F0239D" w:rsidRDefault="00F0239D" w:rsidP="001E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BFF83" w14:textId="77777777" w:rsidR="00F0239D" w:rsidRDefault="00F0239D" w:rsidP="001E4877">
      <w:r>
        <w:separator/>
      </w:r>
    </w:p>
  </w:footnote>
  <w:footnote w:type="continuationSeparator" w:id="0">
    <w:p w14:paraId="0D766FD0" w14:textId="77777777" w:rsidR="00F0239D" w:rsidRDefault="00F0239D" w:rsidP="001E4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21E31"/>
    <w:multiLevelType w:val="hybridMultilevel"/>
    <w:tmpl w:val="277AE3FE"/>
    <w:lvl w:ilvl="0" w:tplc="BA42F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C20FA1"/>
    <w:multiLevelType w:val="hybridMultilevel"/>
    <w:tmpl w:val="973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00E"/>
    <w:rsid w:val="00072780"/>
    <w:rsid w:val="00113791"/>
    <w:rsid w:val="00183583"/>
    <w:rsid w:val="001E4877"/>
    <w:rsid w:val="001E4CB0"/>
    <w:rsid w:val="001F3C5F"/>
    <w:rsid w:val="002B78CD"/>
    <w:rsid w:val="0031765A"/>
    <w:rsid w:val="0038249B"/>
    <w:rsid w:val="00516360"/>
    <w:rsid w:val="00527B82"/>
    <w:rsid w:val="005A6264"/>
    <w:rsid w:val="005B1E48"/>
    <w:rsid w:val="005C76D1"/>
    <w:rsid w:val="00617551"/>
    <w:rsid w:val="0065400E"/>
    <w:rsid w:val="0072206C"/>
    <w:rsid w:val="00854AD4"/>
    <w:rsid w:val="008D7AB3"/>
    <w:rsid w:val="00B83B50"/>
    <w:rsid w:val="00BB258C"/>
    <w:rsid w:val="00BF16D3"/>
    <w:rsid w:val="00C572EA"/>
    <w:rsid w:val="00CA46C1"/>
    <w:rsid w:val="00D22142"/>
    <w:rsid w:val="00D33153"/>
    <w:rsid w:val="00D909F2"/>
    <w:rsid w:val="00F0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A1929"/>
  <w15:chartTrackingRefBased/>
  <w15:docId w15:val="{D7763952-3C8E-4C2C-AAB8-C7415527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877"/>
    <w:pPr>
      <w:spacing w:after="120" w:line="240" w:lineRule="auto"/>
    </w:pPr>
    <w:rPr>
      <w:rFonts w:ascii="Arial Narrow" w:hAnsi="Arial Narrow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1E4877"/>
    <w:pPr>
      <w:spacing w:after="120"/>
      <w:outlineLvl w:val="0"/>
    </w:pPr>
    <w:rPr>
      <w:rFonts w:ascii="Arial Narrow" w:hAnsi="Arial Narrow"/>
      <w:b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1E4877"/>
    <w:pPr>
      <w:spacing w:after="120"/>
      <w:outlineLvl w:val="1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00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00E"/>
  </w:style>
  <w:style w:type="paragraph" w:styleId="Footer">
    <w:name w:val="footer"/>
    <w:basedOn w:val="Normal"/>
    <w:link w:val="FooterChar"/>
    <w:uiPriority w:val="99"/>
    <w:unhideWhenUsed/>
    <w:rsid w:val="0065400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00E"/>
  </w:style>
  <w:style w:type="paragraph" w:styleId="NoSpacing">
    <w:name w:val="No Spacing"/>
    <w:uiPriority w:val="1"/>
    <w:qFormat/>
    <w:rsid w:val="006540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5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5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76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4877"/>
    <w:rPr>
      <w:rFonts w:ascii="Arial Narrow" w:hAnsi="Arial Narrow"/>
      <w:b/>
    </w:rPr>
  </w:style>
  <w:style w:type="paragraph" w:styleId="Title">
    <w:name w:val="Title"/>
    <w:basedOn w:val="NoSpacing"/>
    <w:next w:val="Normal"/>
    <w:link w:val="TitleChar"/>
    <w:uiPriority w:val="10"/>
    <w:qFormat/>
    <w:rsid w:val="001E4877"/>
    <w:pPr>
      <w:spacing w:after="60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E4877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4877"/>
    <w:rPr>
      <w:rFonts w:ascii="Arial Narrow" w:hAnsi="Arial Narro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ity of Reno">
      <a:dk1>
        <a:sysClr val="windowText" lastClr="000000"/>
      </a:dk1>
      <a:lt1>
        <a:sysClr val="window" lastClr="FFFFFF"/>
      </a:lt1>
      <a:dk2>
        <a:srgbClr val="848484"/>
      </a:dk2>
      <a:lt2>
        <a:srgbClr val="BF940D"/>
      </a:lt2>
      <a:accent1>
        <a:srgbClr val="76923C"/>
      </a:accent1>
      <a:accent2>
        <a:srgbClr val="365F91"/>
      </a:accent2>
      <a:accent3>
        <a:srgbClr val="BF3B0D"/>
      </a:accent3>
      <a:accent4>
        <a:srgbClr val="0DBF93"/>
      </a:accent4>
      <a:accent5>
        <a:srgbClr val="0B80A7"/>
      </a:accent5>
      <a:accent6>
        <a:srgbClr val="D70000"/>
      </a:accent6>
      <a:hlink>
        <a:srgbClr val="365F91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3315</Characters>
  <Application>Microsoft Office Word</Application>
  <DocSecurity>0</DocSecurity>
  <Lines>144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Market Transformation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Amberli Young</dc:creator>
  <cp:keywords/>
  <dc:description/>
  <cp:lastModifiedBy>Amy Konigsburg</cp:lastModifiedBy>
  <cp:revision>2</cp:revision>
  <cp:lastPrinted>2017-05-12T23:01:00Z</cp:lastPrinted>
  <dcterms:created xsi:type="dcterms:W3CDTF">2019-02-14T14:02:00Z</dcterms:created>
  <dcterms:modified xsi:type="dcterms:W3CDTF">2019-02-14T14:02:00Z</dcterms:modified>
</cp:coreProperties>
</file>